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79" w:rsidRPr="00867C64" w:rsidRDefault="00DF4BC5" w:rsidP="00867C64">
      <w:pPr>
        <w:pStyle w:val="Heading1"/>
        <w:spacing w:before="120"/>
        <w:jc w:val="center"/>
        <w:rPr>
          <w:rFonts w:asciiTheme="minorHAnsi" w:hAnsiTheme="minorHAnsi"/>
          <w:sz w:val="40"/>
          <w:szCs w:val="40"/>
        </w:rPr>
      </w:pPr>
      <w:r w:rsidRPr="00867C64">
        <w:rPr>
          <w:rFonts w:asciiTheme="minorHAnsi" w:hAnsiTheme="minorHAnsi"/>
          <w:sz w:val="40"/>
          <w:szCs w:val="40"/>
        </w:rPr>
        <w:t>Information on Complaints</w:t>
      </w:r>
      <w:r w:rsidR="00D12079" w:rsidRPr="00867C64">
        <w:rPr>
          <w:rFonts w:asciiTheme="minorHAnsi" w:hAnsiTheme="minorHAnsi"/>
          <w:sz w:val="40"/>
          <w:szCs w:val="40"/>
        </w:rPr>
        <w:t xml:space="preserve"> </w:t>
      </w:r>
    </w:p>
    <w:p w:rsidR="00DF4BC5" w:rsidRPr="00867C64" w:rsidRDefault="00D12079" w:rsidP="00867C64">
      <w:pPr>
        <w:pStyle w:val="Heading1"/>
        <w:spacing w:before="120"/>
        <w:jc w:val="center"/>
        <w:rPr>
          <w:rFonts w:asciiTheme="minorHAnsi" w:hAnsiTheme="minorHAnsi"/>
          <w:sz w:val="40"/>
          <w:szCs w:val="40"/>
        </w:rPr>
      </w:pPr>
      <w:proofErr w:type="gramStart"/>
      <w:r w:rsidRPr="00867C64">
        <w:rPr>
          <w:rFonts w:asciiTheme="minorHAnsi" w:hAnsiTheme="minorHAnsi"/>
          <w:sz w:val="40"/>
          <w:szCs w:val="40"/>
        </w:rPr>
        <w:t>for</w:t>
      </w:r>
      <w:proofErr w:type="gramEnd"/>
      <w:r w:rsidRPr="00867C64">
        <w:rPr>
          <w:rFonts w:asciiTheme="minorHAnsi" w:hAnsiTheme="minorHAnsi"/>
          <w:sz w:val="40"/>
          <w:szCs w:val="40"/>
        </w:rPr>
        <w:t xml:space="preserve"> all Staff and Students</w:t>
      </w:r>
    </w:p>
    <w:p w:rsidR="00777361" w:rsidRDefault="00DF4BC5" w:rsidP="00777361">
      <w:r>
        <w:tab/>
      </w:r>
    </w:p>
    <w:p w:rsidR="00760CA3" w:rsidRDefault="00777361" w:rsidP="00F6656F">
      <w:pPr>
        <w:jc w:val="both"/>
      </w:pPr>
      <w:r>
        <w:t xml:space="preserve">This is a short message to direct you to resources concerning how and where to complain as a student of the </w:t>
      </w:r>
      <w:r w:rsidR="00760CA3">
        <w:t>Queen’s F</w:t>
      </w:r>
      <w:r>
        <w:t xml:space="preserve">oundation. We have a number </w:t>
      </w:r>
      <w:r w:rsidR="00760CA3">
        <w:t xml:space="preserve">of </w:t>
      </w:r>
      <w:r w:rsidR="00F6656F">
        <w:t xml:space="preserve">policies concerning </w:t>
      </w:r>
      <w:r w:rsidR="00760CA3">
        <w:t>‘</w:t>
      </w:r>
      <w:r w:rsidR="00F6656F">
        <w:t>grievance</w:t>
      </w:r>
      <w:r w:rsidR="00760CA3">
        <w:t>s’:</w:t>
      </w:r>
    </w:p>
    <w:p w:rsidR="00760CA3" w:rsidRDefault="00D12079" w:rsidP="00760CA3">
      <w:pPr>
        <w:pStyle w:val="ListParagraph"/>
        <w:numPr>
          <w:ilvl w:val="0"/>
          <w:numId w:val="2"/>
        </w:numPr>
        <w:jc w:val="both"/>
      </w:pPr>
      <w:r>
        <w:t>P</w:t>
      </w:r>
      <w:r w:rsidR="00760CA3">
        <w:t>olicies</w:t>
      </w:r>
      <w:r w:rsidR="00777361">
        <w:t xml:space="preserve"> </w:t>
      </w:r>
      <w:r w:rsidR="00760CA3">
        <w:t>for “Complaints”</w:t>
      </w:r>
    </w:p>
    <w:p w:rsidR="00760CA3" w:rsidRDefault="00D12079" w:rsidP="00760CA3">
      <w:pPr>
        <w:pStyle w:val="ListParagraph"/>
        <w:numPr>
          <w:ilvl w:val="0"/>
          <w:numId w:val="2"/>
        </w:numPr>
        <w:jc w:val="both"/>
      </w:pPr>
      <w:r>
        <w:t>A</w:t>
      </w:r>
      <w:r w:rsidR="00760CA3">
        <w:t xml:space="preserve"> </w:t>
      </w:r>
      <w:r w:rsidR="00C54AFA">
        <w:t>polic</w:t>
      </w:r>
      <w:r w:rsidR="00760CA3">
        <w:t>y</w:t>
      </w:r>
      <w:r w:rsidR="00C54AFA">
        <w:t xml:space="preserve"> </w:t>
      </w:r>
      <w:r w:rsidR="00760CA3">
        <w:t xml:space="preserve">on </w:t>
      </w:r>
      <w:r w:rsidR="00777361">
        <w:t>Bullying an</w:t>
      </w:r>
      <w:bookmarkStart w:id="0" w:name="_GoBack"/>
      <w:bookmarkEnd w:id="0"/>
      <w:r w:rsidR="00F6656F">
        <w:t>d Harassment</w:t>
      </w:r>
    </w:p>
    <w:p w:rsidR="00760CA3" w:rsidRDefault="00D12079" w:rsidP="00760CA3">
      <w:pPr>
        <w:pStyle w:val="ListParagraph"/>
        <w:numPr>
          <w:ilvl w:val="0"/>
          <w:numId w:val="2"/>
        </w:numPr>
        <w:jc w:val="both"/>
      </w:pPr>
      <w:r>
        <w:t>Policies</w:t>
      </w:r>
      <w:r w:rsidR="00760CA3">
        <w:t xml:space="preserve"> for </w:t>
      </w:r>
      <w:r w:rsidR="00777361">
        <w:t>Appeals</w:t>
      </w:r>
      <w:r w:rsidR="00C54AFA">
        <w:t xml:space="preserve"> against a decision of an academic board</w:t>
      </w:r>
      <w:r w:rsidR="00777361">
        <w:t>.</w:t>
      </w:r>
      <w:r w:rsidR="00F6656F">
        <w:t xml:space="preserve"> </w:t>
      </w:r>
      <w:r w:rsidR="00C54AFA">
        <w:t xml:space="preserve"> </w:t>
      </w:r>
    </w:p>
    <w:p w:rsidR="00C534F6" w:rsidRDefault="00C54AFA" w:rsidP="00760CA3">
      <w:pPr>
        <w:jc w:val="both"/>
      </w:pPr>
      <w:r>
        <w:t>In 2015-16 w</w:t>
      </w:r>
      <w:r w:rsidR="00F6656F">
        <w:t xml:space="preserve">e </w:t>
      </w:r>
      <w:r>
        <w:t xml:space="preserve">subscribed for the first time directly to the </w:t>
      </w:r>
      <w:r w:rsidR="00F6656F">
        <w:t xml:space="preserve">Office of the Independent Adjudicator (OIA) </w:t>
      </w:r>
      <w:r>
        <w:t>scheme; the OIA is now open to you as a final stage of all of these processes.</w:t>
      </w:r>
      <w:r w:rsidR="00F6656F">
        <w:t xml:space="preserve"> </w:t>
      </w:r>
      <w:r w:rsidR="00FB6471">
        <w:t xml:space="preserve">  We are currently working towards the OIAs </w:t>
      </w:r>
      <w:r w:rsidR="00FB6471" w:rsidRPr="00D12079">
        <w:rPr>
          <w:i/>
        </w:rPr>
        <w:t>Good Practice Framework</w:t>
      </w:r>
      <w:r w:rsidR="003D6C1A">
        <w:t xml:space="preserve"> </w:t>
      </w:r>
      <w:r w:rsidR="00FB6471">
        <w:t xml:space="preserve">and this includes reviewing all of our existing policies and procedures and ensuring that all staff and students are aware </w:t>
      </w:r>
      <w:r w:rsidR="00760CA3">
        <w:t>of the</w:t>
      </w:r>
      <w:r w:rsidR="00FB6471">
        <w:t xml:space="preserve"> policies and where</w:t>
      </w:r>
      <w:r w:rsidR="00760CA3">
        <w:t xml:space="preserve"> to find information about them</w:t>
      </w:r>
      <w:r w:rsidR="00FB6471">
        <w:t>.</w:t>
      </w:r>
      <w:r w:rsidR="003D6C1A" w:rsidRPr="003D6C1A">
        <w:rPr>
          <w:rStyle w:val="FootnoteReference"/>
        </w:rPr>
        <w:t xml:space="preserve"> </w:t>
      </w:r>
      <w:r w:rsidR="003D6C1A">
        <w:rPr>
          <w:rStyle w:val="FootnoteReference"/>
        </w:rPr>
        <w:footnoteReference w:id="1"/>
      </w:r>
    </w:p>
    <w:p w:rsidR="00257C91" w:rsidRDefault="00257C91" w:rsidP="00760CA3">
      <w:pPr>
        <w:jc w:val="both"/>
        <w:rPr>
          <w:b/>
          <w:sz w:val="28"/>
          <w:szCs w:val="28"/>
        </w:rPr>
      </w:pPr>
      <w:r>
        <w:t xml:space="preserve">● </w:t>
      </w:r>
      <w:proofErr w:type="gramStart"/>
      <w:r w:rsidRPr="00257C91">
        <w:rPr>
          <w:b/>
          <w:sz w:val="28"/>
          <w:szCs w:val="28"/>
        </w:rPr>
        <w:t>What</w:t>
      </w:r>
      <w:proofErr w:type="gramEnd"/>
      <w:r w:rsidRPr="00257C91">
        <w:rPr>
          <w:b/>
          <w:sz w:val="28"/>
          <w:szCs w:val="28"/>
        </w:rPr>
        <w:t xml:space="preserve"> is an academic appeal?</w:t>
      </w:r>
    </w:p>
    <w:p w:rsidR="00257C91" w:rsidRDefault="00257C91" w:rsidP="00257C91">
      <w:r>
        <w:t xml:space="preserve">A request for a review of a decision of an academic body charged with making decision on student progress, assessment and awards. </w:t>
      </w:r>
    </w:p>
    <w:p w:rsidR="00BA03B9" w:rsidRDefault="00BA03B9" w:rsidP="00BA03B9">
      <w:pPr>
        <w:jc w:val="both"/>
        <w:rPr>
          <w:b/>
          <w:sz w:val="28"/>
          <w:szCs w:val="28"/>
        </w:rPr>
      </w:pPr>
      <w:r>
        <w:t xml:space="preserve">● </w:t>
      </w:r>
      <w:proofErr w:type="gramStart"/>
      <w:r>
        <w:rPr>
          <w:b/>
          <w:sz w:val="28"/>
          <w:szCs w:val="28"/>
        </w:rPr>
        <w:t>Who</w:t>
      </w:r>
      <w:proofErr w:type="gramEnd"/>
      <w:r>
        <w:rPr>
          <w:b/>
          <w:sz w:val="28"/>
          <w:szCs w:val="28"/>
        </w:rPr>
        <w:t xml:space="preserve"> can make an</w:t>
      </w:r>
      <w:r w:rsidRPr="00257C91">
        <w:rPr>
          <w:b/>
          <w:sz w:val="28"/>
          <w:szCs w:val="28"/>
        </w:rPr>
        <w:t xml:space="preserve"> academic appeal?</w:t>
      </w:r>
    </w:p>
    <w:p w:rsidR="00BA03B9" w:rsidRPr="00257C91" w:rsidRDefault="00BA03B9" w:rsidP="00257C91">
      <w:r>
        <w:t>All registered or recently registered (within the previous 12 months). Details of how to appeal are contained in the appeals policies hosted in the policy area on Moodle.</w:t>
      </w:r>
    </w:p>
    <w:p w:rsidR="00777361" w:rsidRDefault="00777361" w:rsidP="00F6656F">
      <w:pPr>
        <w:jc w:val="both"/>
      </w:pPr>
      <w:proofErr w:type="gramStart"/>
      <w:r>
        <w:t xml:space="preserve">● </w:t>
      </w:r>
      <w:r w:rsidR="00760CA3">
        <w:t xml:space="preserve"> </w:t>
      </w:r>
      <w:r w:rsidRPr="005209AC">
        <w:rPr>
          <w:b/>
          <w:sz w:val="28"/>
          <w:szCs w:val="28"/>
        </w:rPr>
        <w:t>What</w:t>
      </w:r>
      <w:proofErr w:type="gramEnd"/>
      <w:r w:rsidRPr="005209AC">
        <w:rPr>
          <w:b/>
          <w:sz w:val="28"/>
          <w:szCs w:val="28"/>
        </w:rPr>
        <w:t xml:space="preserve"> is a complaint</w:t>
      </w:r>
      <w:r w:rsidR="005209AC">
        <w:rPr>
          <w:b/>
          <w:sz w:val="28"/>
          <w:szCs w:val="28"/>
        </w:rPr>
        <w:t>?</w:t>
      </w:r>
    </w:p>
    <w:p w:rsidR="00F6656F" w:rsidRDefault="00777361" w:rsidP="00F6656F">
      <w:pPr>
        <w:jc w:val="both"/>
      </w:pPr>
      <w:r w:rsidRPr="00F6656F">
        <w:t xml:space="preserve">A complaint is defined </w:t>
      </w:r>
      <w:r w:rsidR="00C54AFA">
        <w:t xml:space="preserve">by the OIA </w:t>
      </w:r>
      <w:r w:rsidRPr="00F6656F">
        <w:t>as any expression of dissatisfaction by one or more students about an action or lack of action by Queen</w:t>
      </w:r>
      <w:r w:rsidR="00C54AFA">
        <w:t>’</w:t>
      </w:r>
      <w:r w:rsidRPr="00F6656F">
        <w:t>s or about the standard of our service. A complaint can cover aspects of college life such as accommodation services, facilities o</w:t>
      </w:r>
      <w:r w:rsidR="00C54AFA">
        <w:t>r</w:t>
      </w:r>
      <w:r w:rsidRPr="00F6656F">
        <w:t xml:space="preserve"> behaviours</w:t>
      </w:r>
      <w:r>
        <w:t>.</w:t>
      </w:r>
    </w:p>
    <w:p w:rsidR="00777361" w:rsidRDefault="00777361" w:rsidP="00F6656F">
      <w:pPr>
        <w:jc w:val="both"/>
      </w:pPr>
      <w:r>
        <w:t xml:space="preserve">Complaints do not concern matters pertaining to academic performance </w:t>
      </w:r>
      <w:r w:rsidR="00760CA3">
        <w:t xml:space="preserve">(e.g. a mark given for an assignment) </w:t>
      </w:r>
      <w:r>
        <w:t xml:space="preserve">but </w:t>
      </w:r>
      <w:r w:rsidR="00760CA3">
        <w:t xml:space="preserve">a complaint could arise from </w:t>
      </w:r>
      <w:r>
        <w:t xml:space="preserve">a classroom setting (such as a tutor’s attitude and </w:t>
      </w:r>
      <w:r w:rsidR="00F6656F">
        <w:t xml:space="preserve">treatment of students). </w:t>
      </w:r>
      <w:r w:rsidR="00760CA3">
        <w:t xml:space="preserve">Where a complaint is about the </w:t>
      </w:r>
      <w:r w:rsidR="00C54AFA">
        <w:t>decision of an academic board such as an exam board or plagiarism panel</w:t>
      </w:r>
      <w:r w:rsidR="00760CA3" w:rsidRPr="00760CA3">
        <w:t xml:space="preserve"> </w:t>
      </w:r>
      <w:r w:rsidR="00760CA3">
        <w:t xml:space="preserve">you can use the academic appeals policy which </w:t>
      </w:r>
      <w:r w:rsidR="00695221">
        <w:t xml:space="preserve">applies to </w:t>
      </w:r>
      <w:r w:rsidR="00760CA3">
        <w:t xml:space="preserve">each of our validating universities.  Where there are issues of </w:t>
      </w:r>
      <w:r w:rsidR="00F6656F" w:rsidRPr="00D12079">
        <w:rPr>
          <w:i/>
        </w:rPr>
        <w:t>Bullying and Harassment</w:t>
      </w:r>
      <w:r>
        <w:t xml:space="preserve"> </w:t>
      </w:r>
      <w:r w:rsidR="00760CA3">
        <w:t xml:space="preserve">you should use the </w:t>
      </w:r>
      <w:r w:rsidR="0028635B">
        <w:t xml:space="preserve">relevant </w:t>
      </w:r>
      <w:r>
        <w:t>polic</w:t>
      </w:r>
      <w:r w:rsidR="00760CA3">
        <w:t>y</w:t>
      </w:r>
      <w:r w:rsidR="00C54AFA">
        <w:t xml:space="preserve"> which has appropriate procedures that deal with these specific circumstances</w:t>
      </w:r>
      <w:r>
        <w:t>.</w:t>
      </w:r>
      <w:r w:rsidR="00CB7652">
        <w:t xml:space="preserve"> </w:t>
      </w:r>
      <w:r w:rsidR="00AB052F">
        <w:t xml:space="preserve">Where there are issues </w:t>
      </w:r>
      <w:r w:rsidR="00D12079">
        <w:t xml:space="preserve">pertaining to safeguarding the </w:t>
      </w:r>
      <w:r w:rsidR="00D12079" w:rsidRPr="00D12079">
        <w:rPr>
          <w:i/>
        </w:rPr>
        <w:t>Foundation S</w:t>
      </w:r>
      <w:r w:rsidR="00AB052F" w:rsidRPr="00D12079">
        <w:rPr>
          <w:i/>
        </w:rPr>
        <w:t xml:space="preserve">afeguarding </w:t>
      </w:r>
      <w:r w:rsidR="00D12079" w:rsidRPr="00D12079">
        <w:rPr>
          <w:i/>
        </w:rPr>
        <w:t>Policy</w:t>
      </w:r>
      <w:r w:rsidR="00AB052F">
        <w:t xml:space="preserve"> would the primary operative policy. This is hosted in </w:t>
      </w:r>
      <w:r w:rsidR="00D12079">
        <w:t>the Foundation P</w:t>
      </w:r>
      <w:r w:rsidR="00AB052F">
        <w:t xml:space="preserve">olicy </w:t>
      </w:r>
      <w:r w:rsidR="00D12079">
        <w:t xml:space="preserve">section </w:t>
      </w:r>
      <w:r w:rsidR="00AB052F">
        <w:t>on Moodle</w:t>
      </w:r>
      <w:r w:rsidR="00D12079">
        <w:t xml:space="preserve"> and on our website</w:t>
      </w:r>
      <w:r w:rsidR="00D12079">
        <w:rPr>
          <w:rStyle w:val="FootnoteReference"/>
        </w:rPr>
        <w:footnoteReference w:id="2"/>
      </w:r>
      <w:r w:rsidR="00AB052F">
        <w:t>.</w:t>
      </w:r>
    </w:p>
    <w:p w:rsidR="00D12079" w:rsidRDefault="00D12079" w:rsidP="00F6656F">
      <w:pPr>
        <w:jc w:val="both"/>
      </w:pPr>
    </w:p>
    <w:p w:rsidR="00777361" w:rsidRPr="00777361" w:rsidRDefault="00777361" w:rsidP="00F6656F">
      <w:pPr>
        <w:jc w:val="both"/>
      </w:pPr>
      <w:proofErr w:type="gramStart"/>
      <w:r>
        <w:t xml:space="preserve">● </w:t>
      </w:r>
      <w:r w:rsidR="00760CA3">
        <w:t xml:space="preserve"> </w:t>
      </w:r>
      <w:r w:rsidRPr="005209AC">
        <w:rPr>
          <w:b/>
          <w:sz w:val="28"/>
          <w:szCs w:val="28"/>
        </w:rPr>
        <w:t>Who</w:t>
      </w:r>
      <w:proofErr w:type="gramEnd"/>
      <w:r w:rsidRPr="005209AC">
        <w:rPr>
          <w:b/>
          <w:sz w:val="28"/>
          <w:szCs w:val="28"/>
        </w:rPr>
        <w:t xml:space="preserve"> can complain?</w:t>
      </w:r>
    </w:p>
    <w:p w:rsidR="0028635B" w:rsidRDefault="00777361" w:rsidP="00F6656F">
      <w:pPr>
        <w:jc w:val="both"/>
      </w:pPr>
      <w:r>
        <w:lastRenderedPageBreak/>
        <w:t xml:space="preserve">All students </w:t>
      </w:r>
      <w:r w:rsidR="00760CA3">
        <w:t xml:space="preserve">can </w:t>
      </w:r>
      <w:r w:rsidR="0028635B">
        <w:t xml:space="preserve">complain </w:t>
      </w:r>
      <w:r w:rsidR="00941B9E">
        <w:t>whether</w:t>
      </w:r>
      <w:r w:rsidR="00C54AFA">
        <w:t xml:space="preserve"> they are registered on a University Validated programme or not</w:t>
      </w:r>
      <w:r>
        <w:t xml:space="preserve">. </w:t>
      </w:r>
      <w:r w:rsidR="0028635B">
        <w:t xml:space="preserve">  Students following a Common Awards programme should use the relevant policies and procedure for </w:t>
      </w:r>
      <w:r w:rsidR="00C54AFA">
        <w:t xml:space="preserve">complaints or academic appeals </w:t>
      </w:r>
      <w:r w:rsidR="0028635B">
        <w:t>for Durham University</w:t>
      </w:r>
      <w:r>
        <w:t xml:space="preserve">. </w:t>
      </w:r>
      <w:r w:rsidR="00D12079">
        <w:t xml:space="preserve"> </w:t>
      </w:r>
      <w:r>
        <w:t>All other students</w:t>
      </w:r>
      <w:r w:rsidR="00C54AFA">
        <w:t xml:space="preserve"> </w:t>
      </w:r>
      <w:r w:rsidR="0028635B">
        <w:t xml:space="preserve">making a complaint </w:t>
      </w:r>
      <w:r w:rsidR="00C54AFA">
        <w:t xml:space="preserve">(including research </w:t>
      </w:r>
      <w:r w:rsidR="00941B9E">
        <w:t>students</w:t>
      </w:r>
      <w:r w:rsidR="00C54AFA">
        <w:t>)</w:t>
      </w:r>
      <w:r>
        <w:t xml:space="preserve"> </w:t>
      </w:r>
      <w:r w:rsidR="0028635B">
        <w:t xml:space="preserve">should </w:t>
      </w:r>
      <w:r w:rsidR="00760CA3">
        <w:t xml:space="preserve">use </w:t>
      </w:r>
      <w:r>
        <w:t xml:space="preserve">the </w:t>
      </w:r>
      <w:r w:rsidRPr="001048E7">
        <w:rPr>
          <w:i/>
        </w:rPr>
        <w:t>Queen</w:t>
      </w:r>
      <w:r w:rsidR="00C54AFA" w:rsidRPr="001048E7">
        <w:rPr>
          <w:i/>
        </w:rPr>
        <w:t>’</w:t>
      </w:r>
      <w:r w:rsidRPr="001048E7">
        <w:rPr>
          <w:i/>
        </w:rPr>
        <w:t>s</w:t>
      </w:r>
      <w:r w:rsidR="00C534F6" w:rsidRPr="001048E7">
        <w:rPr>
          <w:i/>
        </w:rPr>
        <w:t xml:space="preserve"> </w:t>
      </w:r>
      <w:r w:rsidR="00760CA3" w:rsidRPr="001048E7">
        <w:rPr>
          <w:i/>
        </w:rPr>
        <w:t>Foundation C</w:t>
      </w:r>
      <w:r w:rsidRPr="001048E7">
        <w:rPr>
          <w:i/>
        </w:rPr>
        <w:t>omplaints</w:t>
      </w:r>
      <w:r>
        <w:t xml:space="preserve"> procedure. </w:t>
      </w:r>
      <w:r w:rsidR="00C54AFA">
        <w:t xml:space="preserve"> Newman Students </w:t>
      </w:r>
      <w:r w:rsidR="0028635B">
        <w:t xml:space="preserve">wishing to appeal an academic decision should use the </w:t>
      </w:r>
      <w:r w:rsidR="001048E7" w:rsidRPr="001048E7">
        <w:rPr>
          <w:i/>
        </w:rPr>
        <w:t>Newman University Academic A</w:t>
      </w:r>
      <w:r w:rsidR="00C54AFA" w:rsidRPr="001048E7">
        <w:rPr>
          <w:i/>
        </w:rPr>
        <w:t>ppeals</w:t>
      </w:r>
      <w:r w:rsidR="00C54AFA">
        <w:t xml:space="preserve"> procedure and research students should see their relevant university student handbook about academic appeals.  </w:t>
      </w:r>
    </w:p>
    <w:p w:rsidR="0028635B" w:rsidRPr="00777361" w:rsidRDefault="0028635B" w:rsidP="0028635B">
      <w:pPr>
        <w:jc w:val="both"/>
      </w:pPr>
      <w:proofErr w:type="gramStart"/>
      <w:r>
        <w:t xml:space="preserve">●  </w:t>
      </w:r>
      <w:r w:rsidRPr="005209AC">
        <w:rPr>
          <w:b/>
          <w:sz w:val="28"/>
          <w:szCs w:val="28"/>
        </w:rPr>
        <w:t>Wh</w:t>
      </w:r>
      <w:r>
        <w:rPr>
          <w:b/>
          <w:sz w:val="28"/>
          <w:szCs w:val="28"/>
        </w:rPr>
        <w:t>ere</w:t>
      </w:r>
      <w:proofErr w:type="gramEnd"/>
      <w:r>
        <w:rPr>
          <w:b/>
          <w:sz w:val="28"/>
          <w:szCs w:val="28"/>
        </w:rPr>
        <w:t xml:space="preserve"> do I find the policies</w:t>
      </w:r>
      <w:r w:rsidRPr="005209AC">
        <w:rPr>
          <w:b/>
          <w:sz w:val="28"/>
          <w:szCs w:val="28"/>
        </w:rPr>
        <w:t>?</w:t>
      </w:r>
    </w:p>
    <w:p w:rsidR="0028635B" w:rsidRPr="00777361" w:rsidRDefault="0028635B" w:rsidP="0028635B">
      <w:r>
        <w:t>All policies and procedures can be found on the VLE (</w:t>
      </w:r>
      <w:r w:rsidR="00777361">
        <w:t>Moodle</w:t>
      </w:r>
      <w:r>
        <w:t>)</w:t>
      </w:r>
      <w:r w:rsidR="00777361">
        <w:t xml:space="preserve"> in the </w:t>
      </w:r>
      <w:r w:rsidR="00777361" w:rsidRPr="00D12079">
        <w:rPr>
          <w:i/>
        </w:rPr>
        <w:t>sectio</w:t>
      </w:r>
      <w:r w:rsidR="00C54AFA" w:rsidRPr="00D12079">
        <w:rPr>
          <w:i/>
        </w:rPr>
        <w:t xml:space="preserve">n Academic and Foundation </w:t>
      </w:r>
      <w:proofErr w:type="gramStart"/>
      <w:r w:rsidR="00C54AFA" w:rsidRPr="00D12079">
        <w:rPr>
          <w:i/>
        </w:rPr>
        <w:t>Information</w:t>
      </w:r>
      <w:r w:rsidR="00C54AFA">
        <w:t xml:space="preserve"> </w:t>
      </w:r>
      <w:r w:rsidR="00D12079">
        <w:t xml:space="preserve"> /</w:t>
      </w:r>
      <w:proofErr w:type="gramEnd"/>
      <w:r w:rsidR="00D12079">
        <w:t xml:space="preserve"> </w:t>
      </w:r>
      <w:r w:rsidR="00C54AFA" w:rsidRPr="00D12079">
        <w:rPr>
          <w:i/>
        </w:rPr>
        <w:t>Foundation Policies</w:t>
      </w:r>
      <w:r>
        <w:t xml:space="preserve">.  For some students it is possible that the complaints or grievance policy of the Church could be used </w:t>
      </w:r>
      <w:r w:rsidR="00695221">
        <w:t xml:space="preserve">to make </w:t>
      </w:r>
      <w:r>
        <w:t xml:space="preserve">a complaint.  </w:t>
      </w:r>
      <w:r w:rsidR="00695221">
        <w:t>Such policies will be found on respective Church websites.</w:t>
      </w:r>
    </w:p>
    <w:p w:rsidR="00777361" w:rsidRDefault="00777361" w:rsidP="00F6656F">
      <w:pPr>
        <w:jc w:val="both"/>
      </w:pPr>
      <w:r>
        <w:t>●</w:t>
      </w:r>
      <w:r w:rsidR="00626B4B">
        <w:t xml:space="preserve"> </w:t>
      </w:r>
      <w:proofErr w:type="gramStart"/>
      <w:r w:rsidR="00CB7652" w:rsidRPr="005209AC">
        <w:rPr>
          <w:b/>
          <w:sz w:val="28"/>
          <w:szCs w:val="28"/>
        </w:rPr>
        <w:t>Who</w:t>
      </w:r>
      <w:proofErr w:type="gramEnd"/>
      <w:r w:rsidR="00CB7652" w:rsidRPr="005209AC">
        <w:rPr>
          <w:b/>
          <w:sz w:val="28"/>
          <w:szCs w:val="28"/>
        </w:rPr>
        <w:t xml:space="preserve"> do I talk to about complaints?</w:t>
      </w:r>
    </w:p>
    <w:p w:rsidR="00777361" w:rsidRDefault="00CB7652" w:rsidP="00F6656F">
      <w:pPr>
        <w:jc w:val="both"/>
      </w:pPr>
      <w:r>
        <w:t xml:space="preserve">This is detailed in </w:t>
      </w:r>
      <w:r w:rsidR="00D12079">
        <w:t xml:space="preserve">each of </w:t>
      </w:r>
      <w:r>
        <w:t xml:space="preserve">the policies but in the first instance you should always speak to your personal tutor (or centre director if the complaint relates to your personal tutor) to see if your dissatisfaction can be resolved informally. Your tutor will advise you as to how you can progress your complaint to senior staff if you wish to </w:t>
      </w:r>
      <w:r w:rsidR="00D12079">
        <w:t>and offer you personal support through all stages of the process.  Again see the</w:t>
      </w:r>
      <w:r>
        <w:t xml:space="preserve"> </w:t>
      </w:r>
      <w:r w:rsidR="00D12079">
        <w:t>relevant policy for details</w:t>
      </w:r>
      <w:r>
        <w:t>.</w:t>
      </w:r>
    </w:p>
    <w:p w:rsidR="00777361" w:rsidRPr="00F6656F" w:rsidRDefault="00777361" w:rsidP="00F6656F">
      <w:pPr>
        <w:jc w:val="both"/>
        <w:rPr>
          <w:b/>
        </w:rPr>
      </w:pPr>
      <w:r>
        <w:t>●</w:t>
      </w:r>
      <w:r w:rsidR="00F6656F">
        <w:t xml:space="preserve"> </w:t>
      </w:r>
      <w:proofErr w:type="gramStart"/>
      <w:r w:rsidR="00F6656F" w:rsidRPr="005209AC">
        <w:rPr>
          <w:b/>
          <w:sz w:val="28"/>
          <w:szCs w:val="28"/>
        </w:rPr>
        <w:t>Where</w:t>
      </w:r>
      <w:proofErr w:type="gramEnd"/>
      <w:r w:rsidR="00F6656F" w:rsidRPr="005209AC">
        <w:rPr>
          <w:b/>
          <w:sz w:val="28"/>
          <w:szCs w:val="28"/>
        </w:rPr>
        <w:t xml:space="preserve"> does the OIA fit in?</w:t>
      </w:r>
    </w:p>
    <w:p w:rsidR="00D12079" w:rsidRDefault="00F6656F" w:rsidP="00F6656F">
      <w:pPr>
        <w:jc w:val="both"/>
      </w:pPr>
      <w:r>
        <w:t xml:space="preserve">Once a complaint (or academic appeal) has run its course through all the stages of the relevant procedure if you are still not satisfied with the outcome you are then entitled to go to OIA for a review. They will make a judgement on whether you were treated fairly or not. The powers of the OIA and how to use them are covered in the guide for students </w:t>
      </w:r>
      <w:r w:rsidR="00695221">
        <w:t xml:space="preserve">on </w:t>
      </w:r>
      <w:r>
        <w:t xml:space="preserve">the OIA </w:t>
      </w:r>
      <w:r w:rsidR="00695221">
        <w:t xml:space="preserve">website: </w:t>
      </w:r>
    </w:p>
    <w:p w:rsidR="00777361" w:rsidRDefault="00F6656F" w:rsidP="00F6656F">
      <w:pPr>
        <w:jc w:val="both"/>
      </w:pPr>
      <w:r>
        <w:t>(</w:t>
      </w:r>
      <w:hyperlink r:id="rId9" w:history="1">
        <w:r w:rsidRPr="001F6A96">
          <w:rPr>
            <w:rStyle w:val="Hyperlink"/>
          </w:rPr>
          <w:t>http://www.oiahe.org.uk/media/42715/oia_intro_leaflet_16pp.pdf</w:t>
        </w:r>
      </w:hyperlink>
      <w:r>
        <w:t>)</w:t>
      </w:r>
    </w:p>
    <w:p w:rsidR="00654DB5" w:rsidRDefault="00654DB5" w:rsidP="00F6656F">
      <w:pPr>
        <w:jc w:val="both"/>
      </w:pPr>
    </w:p>
    <w:p w:rsidR="00654DB5" w:rsidRDefault="00654DB5" w:rsidP="00F6656F">
      <w:pPr>
        <w:jc w:val="both"/>
      </w:pPr>
    </w:p>
    <w:p w:rsidR="00654DB5" w:rsidRDefault="00654DB5" w:rsidP="00F6656F">
      <w:pPr>
        <w:jc w:val="both"/>
      </w:pPr>
    </w:p>
    <w:p w:rsidR="00654DB5" w:rsidRDefault="00654DB5" w:rsidP="00F6656F">
      <w:pPr>
        <w:jc w:val="both"/>
      </w:pPr>
    </w:p>
    <w:p w:rsidR="00654DB5" w:rsidRDefault="00654DB5" w:rsidP="00F6656F">
      <w:pPr>
        <w:jc w:val="both"/>
      </w:pPr>
    </w:p>
    <w:p w:rsidR="00654DB5" w:rsidRDefault="00654DB5" w:rsidP="00F6656F">
      <w:pPr>
        <w:jc w:val="both"/>
      </w:pPr>
    </w:p>
    <w:p w:rsidR="00654DB5" w:rsidRDefault="00654DB5" w:rsidP="00F6656F">
      <w:pPr>
        <w:jc w:val="both"/>
      </w:pPr>
    </w:p>
    <w:p w:rsidR="00654DB5" w:rsidRDefault="00654DB5" w:rsidP="00F6656F">
      <w:pPr>
        <w:jc w:val="both"/>
      </w:pPr>
    </w:p>
    <w:p w:rsidR="00654DB5" w:rsidRDefault="00654DB5" w:rsidP="00F6656F">
      <w:pPr>
        <w:jc w:val="both"/>
      </w:pPr>
    </w:p>
    <w:p w:rsidR="00654DB5" w:rsidRPr="00654DB5" w:rsidRDefault="00654DB5" w:rsidP="00654DB5">
      <w:pPr>
        <w:spacing w:after="0" w:line="240" w:lineRule="auto"/>
        <w:jc w:val="both"/>
        <w:rPr>
          <w:b/>
          <w:color w:val="808080" w:themeColor="background1" w:themeShade="80"/>
        </w:rPr>
      </w:pPr>
      <w:r w:rsidRPr="00654DB5">
        <w:rPr>
          <w:b/>
          <w:color w:val="808080" w:themeColor="background1" w:themeShade="80"/>
        </w:rPr>
        <w:t xml:space="preserve">Document prepared by </w:t>
      </w:r>
      <w:proofErr w:type="spellStart"/>
      <w:r w:rsidRPr="00654DB5">
        <w:rPr>
          <w:b/>
          <w:color w:val="808080" w:themeColor="background1" w:themeShade="80"/>
        </w:rPr>
        <w:t>Dr.</w:t>
      </w:r>
      <w:proofErr w:type="spellEnd"/>
      <w:r w:rsidRPr="00654DB5">
        <w:rPr>
          <w:b/>
          <w:color w:val="808080" w:themeColor="background1" w:themeShade="80"/>
        </w:rPr>
        <w:t xml:space="preserve"> Andrew Hayes, March 2016</w:t>
      </w:r>
    </w:p>
    <w:sectPr w:rsidR="00654DB5" w:rsidRPr="00654DB5" w:rsidSect="0028635B">
      <w:headerReference w:type="default" r:id="rId10"/>
      <w:footerReference w:type="default" r:id="rId11"/>
      <w:pgSz w:w="11906" w:h="16838"/>
      <w:pgMar w:top="794" w:right="1191" w:bottom="11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E1" w:rsidRDefault="006736E1" w:rsidP="00FB6471">
      <w:pPr>
        <w:spacing w:after="0" w:line="240" w:lineRule="auto"/>
      </w:pPr>
      <w:r>
        <w:separator/>
      </w:r>
    </w:p>
  </w:endnote>
  <w:endnote w:type="continuationSeparator" w:id="0">
    <w:p w:rsidR="006736E1" w:rsidRDefault="006736E1" w:rsidP="00FB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09" w:rsidRDefault="00952309">
    <w:pPr>
      <w:pStyle w:val="Footer"/>
    </w:pPr>
    <w:r>
      <w:t>February 2016 AH/KFO/DH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E1" w:rsidRDefault="006736E1" w:rsidP="00FB6471">
      <w:pPr>
        <w:spacing w:after="0" w:line="240" w:lineRule="auto"/>
      </w:pPr>
      <w:r>
        <w:separator/>
      </w:r>
    </w:p>
  </w:footnote>
  <w:footnote w:type="continuationSeparator" w:id="0">
    <w:p w:rsidR="006736E1" w:rsidRDefault="006736E1" w:rsidP="00FB6471">
      <w:pPr>
        <w:spacing w:after="0" w:line="240" w:lineRule="auto"/>
      </w:pPr>
      <w:r>
        <w:continuationSeparator/>
      </w:r>
    </w:p>
  </w:footnote>
  <w:footnote w:id="1">
    <w:p w:rsidR="003D6C1A" w:rsidRDefault="003D6C1A" w:rsidP="003D6C1A">
      <w:pPr>
        <w:pStyle w:val="FootnoteText"/>
      </w:pPr>
      <w:r>
        <w:rPr>
          <w:rStyle w:val="FootnoteReference"/>
        </w:rPr>
        <w:footnoteRef/>
      </w:r>
      <w:r>
        <w:t xml:space="preserve"> </w:t>
      </w:r>
      <w:r w:rsidRPr="00FB6471">
        <w:t>http://oiahe.org.uk/providers-and-good-practice/good-practice-framework.aspx</w:t>
      </w:r>
    </w:p>
  </w:footnote>
  <w:footnote w:id="2">
    <w:p w:rsidR="00D12079" w:rsidRDefault="00D12079">
      <w:pPr>
        <w:pStyle w:val="FootnoteText"/>
      </w:pPr>
      <w:r>
        <w:rPr>
          <w:rStyle w:val="FootnoteReference"/>
        </w:rPr>
        <w:footnoteRef/>
      </w:r>
      <w:r>
        <w:t xml:space="preserve"> </w:t>
      </w:r>
      <w:r w:rsidRPr="00D12079">
        <w:t>http://www.queens.ac.uk/site/page/policies/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C5" w:rsidRDefault="00DF4BC5">
    <w:pPr>
      <w:pStyle w:val="Header"/>
    </w:pPr>
    <w:r>
      <w:rPr>
        <w:noProof/>
        <w:lang w:eastAsia="en-GB"/>
      </w:rPr>
      <mc:AlternateContent>
        <mc:Choice Requires="wps">
          <w:drawing>
            <wp:anchor distT="0" distB="0" distL="114300" distR="114300" simplePos="0" relativeHeight="251661312" behindDoc="0" locked="0" layoutInCell="1" allowOverlap="1" wp14:anchorId="763ABC93" wp14:editId="46614A2A">
              <wp:simplePos x="0" y="0"/>
              <wp:positionH relativeFrom="column">
                <wp:posOffset>-118745</wp:posOffset>
              </wp:positionH>
              <wp:positionV relativeFrom="paragraph">
                <wp:posOffset>1127125</wp:posOffset>
              </wp:positionV>
              <wp:extent cx="609092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609092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35pt,88.75pt" to="470.2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" strokecolor="#009"/>
          </w:pict>
        </mc:Fallback>
      </mc:AlternateContent>
    </w:r>
    <w:r w:rsidRPr="007B4554">
      <w:rPr>
        <w:noProof/>
        <w:lang w:eastAsia="en-GB"/>
      </w:rPr>
      <w:drawing>
        <wp:anchor distT="0" distB="0" distL="114300" distR="114300" simplePos="0" relativeHeight="251659264" behindDoc="0" locked="0" layoutInCell="1" allowOverlap="1" wp14:anchorId="1D67035A" wp14:editId="13F86239">
          <wp:simplePos x="0" y="0"/>
          <wp:positionH relativeFrom="column">
            <wp:posOffset>-50165</wp:posOffset>
          </wp:positionH>
          <wp:positionV relativeFrom="paragraph">
            <wp:posOffset>332105</wp:posOffset>
          </wp:positionV>
          <wp:extent cx="866775" cy="628015"/>
          <wp:effectExtent l="0" t="0" r="9525" b="635"/>
          <wp:wrapSquare wrapText="bothSides"/>
          <wp:docPr id="2" name="Picture 2" descr="\\FS1\Store\Publicity, photos, prospectus, graphics\Logos\Queen's logo\Queen's Full Logo (cur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S1\Store\Publicity, photos, prospectus, graphics\Logos\Queen's logo\Queen's Full Logo (current).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6116" r="3718"/>
                  <a:stretch/>
                </pic:blipFill>
                <pic:spPr bwMode="auto">
                  <a:xfrm>
                    <a:off x="0" y="0"/>
                    <a:ext cx="866775" cy="628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320E"/>
    <w:multiLevelType w:val="hybridMultilevel"/>
    <w:tmpl w:val="E546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B1CD9"/>
    <w:multiLevelType w:val="hybridMultilevel"/>
    <w:tmpl w:val="C0EC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61"/>
    <w:rsid w:val="001048E7"/>
    <w:rsid w:val="00257C91"/>
    <w:rsid w:val="0027718D"/>
    <w:rsid w:val="00280100"/>
    <w:rsid w:val="0028635B"/>
    <w:rsid w:val="00301247"/>
    <w:rsid w:val="003D6C1A"/>
    <w:rsid w:val="005209AC"/>
    <w:rsid w:val="005405AF"/>
    <w:rsid w:val="00626B4B"/>
    <w:rsid w:val="00654DB5"/>
    <w:rsid w:val="006736E1"/>
    <w:rsid w:val="00695221"/>
    <w:rsid w:val="00760CA3"/>
    <w:rsid w:val="00777361"/>
    <w:rsid w:val="00867C64"/>
    <w:rsid w:val="00937C56"/>
    <w:rsid w:val="00941B9E"/>
    <w:rsid w:val="00952309"/>
    <w:rsid w:val="00AB052F"/>
    <w:rsid w:val="00B51FEA"/>
    <w:rsid w:val="00B730F7"/>
    <w:rsid w:val="00BA03B9"/>
    <w:rsid w:val="00C534F6"/>
    <w:rsid w:val="00C54AFA"/>
    <w:rsid w:val="00CB7652"/>
    <w:rsid w:val="00D12079"/>
    <w:rsid w:val="00DD43F1"/>
    <w:rsid w:val="00DF4BC5"/>
    <w:rsid w:val="00E8559A"/>
    <w:rsid w:val="00F6656F"/>
    <w:rsid w:val="00FB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7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36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6656F"/>
    <w:rPr>
      <w:color w:val="0000FF" w:themeColor="hyperlink"/>
      <w:u w:val="single"/>
    </w:rPr>
  </w:style>
  <w:style w:type="paragraph" w:styleId="BalloonText">
    <w:name w:val="Balloon Text"/>
    <w:basedOn w:val="Normal"/>
    <w:link w:val="BalloonTextChar"/>
    <w:uiPriority w:val="99"/>
    <w:semiHidden/>
    <w:unhideWhenUsed/>
    <w:rsid w:val="00941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B9E"/>
    <w:rPr>
      <w:rFonts w:ascii="Tahoma" w:hAnsi="Tahoma" w:cs="Tahoma"/>
      <w:sz w:val="16"/>
      <w:szCs w:val="16"/>
    </w:rPr>
  </w:style>
  <w:style w:type="paragraph" w:styleId="FootnoteText">
    <w:name w:val="footnote text"/>
    <w:basedOn w:val="Normal"/>
    <w:link w:val="FootnoteTextChar"/>
    <w:uiPriority w:val="99"/>
    <w:semiHidden/>
    <w:unhideWhenUsed/>
    <w:rsid w:val="00FB6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471"/>
    <w:rPr>
      <w:sz w:val="20"/>
      <w:szCs w:val="20"/>
    </w:rPr>
  </w:style>
  <w:style w:type="character" w:styleId="FootnoteReference">
    <w:name w:val="footnote reference"/>
    <w:basedOn w:val="DefaultParagraphFont"/>
    <w:uiPriority w:val="99"/>
    <w:semiHidden/>
    <w:unhideWhenUsed/>
    <w:rsid w:val="00FB6471"/>
    <w:rPr>
      <w:vertAlign w:val="superscript"/>
    </w:rPr>
  </w:style>
  <w:style w:type="paragraph" w:styleId="Header">
    <w:name w:val="header"/>
    <w:basedOn w:val="Normal"/>
    <w:link w:val="HeaderChar"/>
    <w:uiPriority w:val="99"/>
    <w:unhideWhenUsed/>
    <w:rsid w:val="00DF4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C5"/>
  </w:style>
  <w:style w:type="paragraph" w:styleId="Footer">
    <w:name w:val="footer"/>
    <w:basedOn w:val="Normal"/>
    <w:link w:val="FooterChar"/>
    <w:uiPriority w:val="99"/>
    <w:unhideWhenUsed/>
    <w:rsid w:val="00DF4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C5"/>
  </w:style>
  <w:style w:type="paragraph" w:styleId="ListParagraph">
    <w:name w:val="List Paragraph"/>
    <w:basedOn w:val="Normal"/>
    <w:uiPriority w:val="34"/>
    <w:qFormat/>
    <w:rsid w:val="00520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7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36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6656F"/>
    <w:rPr>
      <w:color w:val="0000FF" w:themeColor="hyperlink"/>
      <w:u w:val="single"/>
    </w:rPr>
  </w:style>
  <w:style w:type="paragraph" w:styleId="BalloonText">
    <w:name w:val="Balloon Text"/>
    <w:basedOn w:val="Normal"/>
    <w:link w:val="BalloonTextChar"/>
    <w:uiPriority w:val="99"/>
    <w:semiHidden/>
    <w:unhideWhenUsed/>
    <w:rsid w:val="00941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B9E"/>
    <w:rPr>
      <w:rFonts w:ascii="Tahoma" w:hAnsi="Tahoma" w:cs="Tahoma"/>
      <w:sz w:val="16"/>
      <w:szCs w:val="16"/>
    </w:rPr>
  </w:style>
  <w:style w:type="paragraph" w:styleId="FootnoteText">
    <w:name w:val="footnote text"/>
    <w:basedOn w:val="Normal"/>
    <w:link w:val="FootnoteTextChar"/>
    <w:uiPriority w:val="99"/>
    <w:semiHidden/>
    <w:unhideWhenUsed/>
    <w:rsid w:val="00FB6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471"/>
    <w:rPr>
      <w:sz w:val="20"/>
      <w:szCs w:val="20"/>
    </w:rPr>
  </w:style>
  <w:style w:type="character" w:styleId="FootnoteReference">
    <w:name w:val="footnote reference"/>
    <w:basedOn w:val="DefaultParagraphFont"/>
    <w:uiPriority w:val="99"/>
    <w:semiHidden/>
    <w:unhideWhenUsed/>
    <w:rsid w:val="00FB6471"/>
    <w:rPr>
      <w:vertAlign w:val="superscript"/>
    </w:rPr>
  </w:style>
  <w:style w:type="paragraph" w:styleId="Header">
    <w:name w:val="header"/>
    <w:basedOn w:val="Normal"/>
    <w:link w:val="HeaderChar"/>
    <w:uiPriority w:val="99"/>
    <w:unhideWhenUsed/>
    <w:rsid w:val="00DF4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C5"/>
  </w:style>
  <w:style w:type="paragraph" w:styleId="Footer">
    <w:name w:val="footer"/>
    <w:basedOn w:val="Normal"/>
    <w:link w:val="FooterChar"/>
    <w:uiPriority w:val="99"/>
    <w:unhideWhenUsed/>
    <w:rsid w:val="00DF4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C5"/>
  </w:style>
  <w:style w:type="paragraph" w:styleId="ListParagraph">
    <w:name w:val="List Paragraph"/>
    <w:basedOn w:val="Normal"/>
    <w:uiPriority w:val="34"/>
    <w:qFormat/>
    <w:rsid w:val="00520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iahe.org.uk/media/42715/oia_intro_leaflet_16p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BB3C-7634-47EA-91D4-1F48D2BC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Georgina Bewley</cp:lastModifiedBy>
  <cp:revision>2</cp:revision>
  <cp:lastPrinted>2016-03-09T14:51:00Z</cp:lastPrinted>
  <dcterms:created xsi:type="dcterms:W3CDTF">2016-03-10T10:34:00Z</dcterms:created>
  <dcterms:modified xsi:type="dcterms:W3CDTF">2016-03-10T10:34:00Z</dcterms:modified>
</cp:coreProperties>
</file>